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6647ED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0221" wp14:editId="1086678F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79ED230F" w14:textId="77777777" w:rsidTr="00C1556A">
        <w:trPr>
          <w:trHeight w:val="782"/>
        </w:trPr>
        <w:tc>
          <w:tcPr>
            <w:tcW w:w="4315" w:type="dxa"/>
            <w:gridSpan w:val="2"/>
          </w:tcPr>
          <w:p w14:paraId="1CE1F10B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2E8F157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D7F4EE0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801D105" w14:textId="77777777" w:rsidR="007E478D" w:rsidRPr="00AE13A3" w:rsidRDefault="007E478D" w:rsidP="004A3907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E5382F">
              <w:rPr>
                <w:bCs/>
                <w:i/>
                <w:iCs/>
                <w:szCs w:val="22"/>
              </w:rPr>
              <w:t>7</w:t>
            </w:r>
            <w:r w:rsidR="000D22DA">
              <w:rPr>
                <w:bCs/>
                <w:i/>
                <w:iCs/>
                <w:szCs w:val="22"/>
              </w:rPr>
              <w:t>9</w:t>
            </w:r>
          </w:p>
          <w:p w14:paraId="78BCB15D" w14:textId="77777777"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0D22DA">
              <w:rPr>
                <w:bCs/>
                <w:i/>
                <w:iCs/>
                <w:szCs w:val="22"/>
              </w:rPr>
              <w:t>3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773F12B" w14:textId="77777777" w:rsidTr="00E9673E">
        <w:tc>
          <w:tcPr>
            <w:tcW w:w="0" w:type="auto"/>
          </w:tcPr>
          <w:p w14:paraId="1966F46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DBAFA4C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2920F826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70DC88AB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F218A7D" w14:textId="77777777" w:rsidTr="00E9673E">
        <w:tc>
          <w:tcPr>
            <w:tcW w:w="0" w:type="auto"/>
          </w:tcPr>
          <w:p w14:paraId="15F7F1F0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64094C91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53CB4259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37BD2AD9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20845D8D" w14:textId="77777777" w:rsidTr="00E943C4">
        <w:tc>
          <w:tcPr>
            <w:tcW w:w="0" w:type="auto"/>
          </w:tcPr>
          <w:p w14:paraId="74CADE6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25C44070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74E8C2C1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6421AF3D" w14:textId="77777777" w:rsidTr="00B6033F">
        <w:tc>
          <w:tcPr>
            <w:tcW w:w="0" w:type="auto"/>
          </w:tcPr>
          <w:p w14:paraId="1105B262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2990A02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B4CA00E" w14:textId="77777777" w:rsidR="000D5F16" w:rsidRDefault="000D5F16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</w:p>
    <w:p w14:paraId="45A544AD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704889F8" w14:textId="77777777"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0D22DA">
        <w:rPr>
          <w:b/>
          <w:bCs/>
          <w:sz w:val="21"/>
          <w:szCs w:val="21"/>
        </w:rPr>
        <w:t>13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29E1E93B" w14:textId="77777777" w:rsidR="000D5F16" w:rsidRDefault="000D5F16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756CA25" w14:textId="77777777" w:rsidTr="00CC0BF7">
        <w:tc>
          <w:tcPr>
            <w:tcW w:w="9307" w:type="dxa"/>
            <w:gridSpan w:val="4"/>
          </w:tcPr>
          <w:p w14:paraId="5ABD32E8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644BB43" w14:textId="77777777" w:rsidTr="00E943C4">
        <w:tc>
          <w:tcPr>
            <w:tcW w:w="9307" w:type="dxa"/>
            <w:gridSpan w:val="4"/>
          </w:tcPr>
          <w:p w14:paraId="4795BB7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4CF765DF" w14:textId="77777777" w:rsidTr="00E32CBA">
        <w:tc>
          <w:tcPr>
            <w:tcW w:w="1885" w:type="dxa"/>
          </w:tcPr>
          <w:p w14:paraId="25D0D1AF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708DFF8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A850C2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2D310772" w14:textId="77777777"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2706CD" w14:paraId="08C6C8B5" w14:textId="77777777" w:rsidTr="00E32CBA">
        <w:tc>
          <w:tcPr>
            <w:tcW w:w="1885" w:type="dxa"/>
          </w:tcPr>
          <w:p w14:paraId="4A0C047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4A1404A6" w14:textId="77777777"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14:paraId="7D032FB7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E4A7065" w14:textId="77777777"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14:paraId="0D40AB1B" w14:textId="77777777" w:rsidTr="00E32CBA">
        <w:tc>
          <w:tcPr>
            <w:tcW w:w="1885" w:type="dxa"/>
          </w:tcPr>
          <w:p w14:paraId="4D0E7E8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4018D26A" w14:textId="77777777"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</w:tcPr>
          <w:p w14:paraId="134D106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0E7A84AD" w14:textId="77777777"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14:paraId="6BEBAD66" w14:textId="77777777" w:rsidTr="00E32CBA">
        <w:tc>
          <w:tcPr>
            <w:tcW w:w="1885" w:type="dxa"/>
          </w:tcPr>
          <w:p w14:paraId="04F0DE8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279507CE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B5936D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489A8BA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0F78EBF4" w14:textId="77777777" w:rsidTr="00E32CBA">
        <w:tc>
          <w:tcPr>
            <w:tcW w:w="1885" w:type="dxa"/>
          </w:tcPr>
          <w:p w14:paraId="4B68234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51F4DE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CFCD7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1AD2439F" w14:textId="77777777"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14:paraId="0CA6C5C3" w14:textId="77777777" w:rsidTr="00E943C4">
        <w:tc>
          <w:tcPr>
            <w:tcW w:w="9307" w:type="dxa"/>
            <w:gridSpan w:val="4"/>
          </w:tcPr>
          <w:p w14:paraId="2D00A42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F065382" w14:textId="77777777" w:rsidTr="00A22BB0">
        <w:tc>
          <w:tcPr>
            <w:tcW w:w="1885" w:type="dxa"/>
          </w:tcPr>
          <w:p w14:paraId="74FD8FE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3E863E06" w14:textId="77777777" w:rsidR="00754C8E" w:rsidRPr="00333D22" w:rsidRDefault="000D5F16" w:rsidP="002073D9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RIH the HQ drill assembly and c</w:t>
            </w:r>
            <w:r w:rsidR="004A3907">
              <w:rPr>
                <w:bCs/>
                <w:sz w:val="21"/>
                <w:szCs w:val="21"/>
              </w:rPr>
              <w:t xml:space="preserve">ontinued </w:t>
            </w:r>
            <w:r w:rsidR="00322085">
              <w:rPr>
                <w:bCs/>
                <w:sz w:val="21"/>
                <w:szCs w:val="21"/>
              </w:rPr>
              <w:t>drill</w:t>
            </w:r>
            <w:r w:rsidR="004A3907">
              <w:rPr>
                <w:bCs/>
                <w:sz w:val="21"/>
                <w:szCs w:val="21"/>
              </w:rPr>
              <w:t>ing</w:t>
            </w:r>
            <w:r w:rsidR="00322085">
              <w:rPr>
                <w:bCs/>
                <w:sz w:val="21"/>
                <w:szCs w:val="21"/>
              </w:rPr>
              <w:t xml:space="preserve"> </w:t>
            </w:r>
            <w:r w:rsidR="00F91352">
              <w:rPr>
                <w:bCs/>
                <w:sz w:val="21"/>
                <w:szCs w:val="21"/>
              </w:rPr>
              <w:t xml:space="preserve">from </w:t>
            </w:r>
            <w:r w:rsidR="000D22DA">
              <w:rPr>
                <w:bCs/>
                <w:sz w:val="21"/>
                <w:szCs w:val="21"/>
              </w:rPr>
              <w:t>94.10</w:t>
            </w:r>
            <w:r w:rsidR="00116D52">
              <w:rPr>
                <w:bCs/>
                <w:sz w:val="21"/>
                <w:szCs w:val="21"/>
              </w:rPr>
              <w:t>mbgl</w:t>
            </w:r>
            <w:r w:rsidR="000D22DA">
              <w:rPr>
                <w:bCs/>
                <w:sz w:val="21"/>
                <w:szCs w:val="21"/>
              </w:rPr>
              <w:t xml:space="preserve"> to </w:t>
            </w:r>
            <w:r w:rsidR="002073D9">
              <w:rPr>
                <w:bCs/>
                <w:sz w:val="21"/>
                <w:szCs w:val="21"/>
              </w:rPr>
              <w:t>112.40</w:t>
            </w:r>
            <w:r w:rsidR="00F91352">
              <w:rPr>
                <w:bCs/>
                <w:sz w:val="21"/>
                <w:szCs w:val="21"/>
              </w:rPr>
              <w:t>mbgl</w:t>
            </w:r>
            <w:r>
              <w:rPr>
                <w:bCs/>
                <w:sz w:val="21"/>
                <w:szCs w:val="21"/>
              </w:rPr>
              <w:t>.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4F344C" w14:paraId="3BC7E645" w14:textId="77777777" w:rsidTr="00A22BB0">
        <w:tc>
          <w:tcPr>
            <w:tcW w:w="1885" w:type="dxa"/>
          </w:tcPr>
          <w:p w14:paraId="70BE6835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53B0AC1E" w14:textId="77777777" w:rsidR="004F344C" w:rsidRPr="00CE2B7B" w:rsidRDefault="00A1479D" w:rsidP="001F742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</w:t>
            </w:r>
            <w:proofErr w:type="gramStart"/>
            <w:r>
              <w:rPr>
                <w:bCs/>
                <w:sz w:val="21"/>
                <w:szCs w:val="21"/>
              </w:rPr>
              <w:t xml:space="preserve">between  </w:t>
            </w:r>
            <w:r w:rsidR="00F91352">
              <w:rPr>
                <w:bCs/>
                <w:sz w:val="21"/>
                <w:szCs w:val="21"/>
              </w:rPr>
              <w:t>5</w:t>
            </w:r>
            <w:r w:rsidR="002073D9">
              <w:rPr>
                <w:bCs/>
                <w:sz w:val="21"/>
                <w:szCs w:val="21"/>
              </w:rPr>
              <w:t>0</w:t>
            </w:r>
            <w:proofErr w:type="gramEnd"/>
            <w:r w:rsidR="002073D9">
              <w:rPr>
                <w:bCs/>
                <w:sz w:val="21"/>
                <w:szCs w:val="21"/>
              </w:rPr>
              <w:t>-110</w:t>
            </w:r>
            <w:r w:rsidR="004F344C">
              <w:rPr>
                <w:bCs/>
                <w:sz w:val="21"/>
                <w:szCs w:val="21"/>
              </w:rPr>
              <w:t>min for 3.05m core</w:t>
            </w:r>
          </w:p>
        </w:tc>
      </w:tr>
      <w:tr w:rsidR="004F344C" w14:paraId="56D05AD0" w14:textId="77777777" w:rsidTr="00A22BB0">
        <w:tc>
          <w:tcPr>
            <w:tcW w:w="1885" w:type="dxa"/>
          </w:tcPr>
          <w:p w14:paraId="7ED9CA11" w14:textId="77777777"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429E8B0" w14:textId="77777777" w:rsidR="004F344C" w:rsidRPr="00D57533" w:rsidRDefault="004F344C" w:rsidP="004F344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F91352">
              <w:rPr>
                <w:sz w:val="21"/>
                <w:szCs w:val="21"/>
              </w:rPr>
              <w:t>6</w:t>
            </w:r>
            <w:r w:rsidR="00116D52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0rpm</w:t>
            </w:r>
          </w:p>
        </w:tc>
      </w:tr>
      <w:tr w:rsidR="00E770DC" w14:paraId="05A5530D" w14:textId="77777777" w:rsidTr="00A22BB0">
        <w:tc>
          <w:tcPr>
            <w:tcW w:w="1885" w:type="dxa"/>
          </w:tcPr>
          <w:p w14:paraId="1238C43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6CC45FA" w14:textId="77777777" w:rsidR="00E770DC" w:rsidRPr="00CE2B7B" w:rsidRDefault="0021324E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</w:t>
            </w:r>
            <w:r w:rsidR="006F019A">
              <w:rPr>
                <w:bCs/>
                <w:sz w:val="21"/>
                <w:szCs w:val="21"/>
              </w:rPr>
              <w:t xml:space="preserve">omplete loss of circulation </w:t>
            </w:r>
          </w:p>
        </w:tc>
      </w:tr>
      <w:tr w:rsidR="00E770DC" w14:paraId="0DDE145D" w14:textId="77777777" w:rsidTr="00A22BB0">
        <w:tc>
          <w:tcPr>
            <w:tcW w:w="1885" w:type="dxa"/>
          </w:tcPr>
          <w:p w14:paraId="326FDB4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083C56E4" w14:textId="77777777" w:rsidR="00E770DC" w:rsidRPr="00CE2B7B" w:rsidRDefault="002073D9" w:rsidP="002073D9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4F344C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>5</w:t>
            </w:r>
            <w:r w:rsidR="00116D52">
              <w:rPr>
                <w:sz w:val="21"/>
                <w:szCs w:val="21"/>
              </w:rPr>
              <w:t xml:space="preserve"> being of 3.05m; and </w:t>
            </w:r>
            <w:r>
              <w:rPr>
                <w:sz w:val="21"/>
                <w:szCs w:val="21"/>
              </w:rPr>
              <w:t>others</w:t>
            </w:r>
            <w:r w:rsidR="00F91352">
              <w:rPr>
                <w:sz w:val="21"/>
                <w:szCs w:val="21"/>
              </w:rPr>
              <w:t xml:space="preserve"> of </w:t>
            </w:r>
            <w:r>
              <w:rPr>
                <w:sz w:val="21"/>
                <w:szCs w:val="21"/>
              </w:rPr>
              <w:t xml:space="preserve">2 and </w:t>
            </w:r>
            <w:r w:rsidR="00F91352">
              <w:rPr>
                <w:sz w:val="21"/>
                <w:szCs w:val="21"/>
              </w:rPr>
              <w:t>1.0</w:t>
            </w:r>
            <w:r>
              <w:rPr>
                <w:sz w:val="21"/>
                <w:szCs w:val="21"/>
              </w:rPr>
              <w:t>5</w:t>
            </w:r>
            <w:r w:rsidR="0021324E">
              <w:rPr>
                <w:sz w:val="21"/>
                <w:szCs w:val="21"/>
              </w:rPr>
              <w:t>m</w:t>
            </w:r>
          </w:p>
        </w:tc>
      </w:tr>
      <w:tr w:rsidR="00E770DC" w14:paraId="405183A1" w14:textId="77777777" w:rsidTr="00A22BB0">
        <w:tc>
          <w:tcPr>
            <w:tcW w:w="1885" w:type="dxa"/>
          </w:tcPr>
          <w:p w14:paraId="1BBFFBB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F2883B5" w14:textId="77777777" w:rsidR="00E770DC" w:rsidRPr="00CE2B7B" w:rsidRDefault="002073D9" w:rsidP="00F9135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18.30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63719B7D" w14:textId="77777777" w:rsidTr="00A22BB0">
        <w:tc>
          <w:tcPr>
            <w:tcW w:w="1885" w:type="dxa"/>
          </w:tcPr>
          <w:p w14:paraId="12339F4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6171BD22" w14:textId="77777777" w:rsidR="00E770DC" w:rsidRPr="00DD34B6" w:rsidRDefault="002073D9" w:rsidP="002073D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112.4</w:t>
            </w:r>
            <w:r w:rsidR="00F91352">
              <w:rPr>
                <w:b/>
                <w:bCs/>
                <w:sz w:val="21"/>
                <w:szCs w:val="21"/>
              </w:rPr>
              <w:t>0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</w:t>
            </w:r>
            <w:proofErr w:type="gramStart"/>
            <w:r w:rsidR="004F344C">
              <w:rPr>
                <w:b/>
                <w:bCs/>
                <w:sz w:val="21"/>
                <w:szCs w:val="21"/>
              </w:rPr>
              <w:t xml:space="preserve">   </w:t>
            </w:r>
            <w:r w:rsidR="004F344C" w:rsidRPr="004F344C">
              <w:rPr>
                <w:i/>
                <w:iCs/>
                <w:sz w:val="21"/>
                <w:szCs w:val="21"/>
              </w:rPr>
              <w:t>(</w:t>
            </w:r>
            <w:proofErr w:type="gramEnd"/>
            <w:r w:rsidR="004F344C" w:rsidRPr="004F344C">
              <w:rPr>
                <w:i/>
                <w:iCs/>
                <w:sz w:val="21"/>
                <w:szCs w:val="21"/>
              </w:rPr>
              <w:t>1.9m for BT-1A)</w:t>
            </w:r>
          </w:p>
        </w:tc>
      </w:tr>
      <w:tr w:rsidR="00CC0BF7" w14:paraId="41433AE9" w14:textId="77777777" w:rsidTr="00E943C4">
        <w:tc>
          <w:tcPr>
            <w:tcW w:w="9307" w:type="dxa"/>
            <w:gridSpan w:val="4"/>
          </w:tcPr>
          <w:p w14:paraId="1866F7F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8CB00A6" w14:textId="77777777" w:rsidTr="00CC0BF7">
        <w:tc>
          <w:tcPr>
            <w:tcW w:w="9307" w:type="dxa"/>
            <w:gridSpan w:val="4"/>
          </w:tcPr>
          <w:p w14:paraId="4B37CC5E" w14:textId="77777777"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6A8162E" w14:textId="77777777"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6967A8FE" w14:textId="77777777" w:rsidR="00E770DC" w:rsidRPr="0022303D" w:rsidRDefault="00962081" w:rsidP="001677A3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</w:t>
            </w:r>
            <w:proofErr w:type="gramStart"/>
            <w:r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dark</w:t>
            </w:r>
            <w:proofErr w:type="gramEnd"/>
            <w:r w:rsidR="0054296F">
              <w:rPr>
                <w:rStyle w:val="Strong"/>
                <w:b w:val="0"/>
                <w:sz w:val="21"/>
                <w:szCs w:val="21"/>
              </w:rPr>
              <w:t xml:space="preserve"> greenish gray to black </w:t>
            </w:r>
            <w:proofErr w:type="spellStart"/>
            <w:r w:rsidR="009A35DD">
              <w:rPr>
                <w:rStyle w:val="Strong"/>
                <w:b w:val="0"/>
                <w:sz w:val="21"/>
                <w:szCs w:val="21"/>
              </w:rPr>
              <w:t>Serpentinite</w:t>
            </w:r>
            <w:proofErr w:type="spellEnd"/>
            <w:r w:rsidR="0054296F">
              <w:rPr>
                <w:rStyle w:val="Strong"/>
                <w:b w:val="0"/>
                <w:sz w:val="21"/>
                <w:szCs w:val="21"/>
              </w:rPr>
              <w:t xml:space="preserve">  with abundance of magnesite veins up</w:t>
            </w:r>
            <w:r w:rsidR="009F4F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>to 98.10m gradually transforming to  the zone of calcic</w:t>
            </w:r>
            <w:r w:rsidR="00D67C29">
              <w:rPr>
                <w:rStyle w:val="Strong"/>
                <w:b w:val="0"/>
                <w:sz w:val="21"/>
                <w:szCs w:val="21"/>
              </w:rPr>
              <w:t xml:space="preserve"> magnesium silicate rich,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micro to coarse crystalline strong, reddish brown to 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mostly </w:t>
            </w:r>
            <w:r w:rsidR="0054296F">
              <w:rPr>
                <w:rStyle w:val="Strong"/>
                <w:b w:val="0"/>
                <w:sz w:val="21"/>
                <w:szCs w:val="21"/>
              </w:rPr>
              <w:t>off white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 cream color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and greenish gray fresh 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altered, carbonated to siliceous </w:t>
            </w:r>
            <w:proofErr w:type="spellStart"/>
            <w:r w:rsidR="0054296F">
              <w:rPr>
                <w:rStyle w:val="Strong"/>
                <w:b w:val="0"/>
                <w:sz w:val="21"/>
                <w:szCs w:val="21"/>
              </w:rPr>
              <w:t>Listvanite</w:t>
            </w:r>
            <w:proofErr w:type="spellEnd"/>
            <w:r w:rsidR="0054296F">
              <w:rPr>
                <w:rStyle w:val="Strong"/>
                <w:b w:val="0"/>
                <w:sz w:val="21"/>
                <w:szCs w:val="21"/>
              </w:rPr>
              <w:t>, presence of fuchsite and talc at places; at places fractured with crystal overgrowth</w:t>
            </w:r>
            <w:r w:rsidR="009F4F46">
              <w:rPr>
                <w:rStyle w:val="Strong"/>
                <w:b w:val="0"/>
                <w:sz w:val="21"/>
                <w:szCs w:val="21"/>
              </w:rPr>
              <w:t>s</w:t>
            </w:r>
          </w:p>
        </w:tc>
      </w:tr>
      <w:tr w:rsidR="00CC0BF7" w14:paraId="17EB4D6F" w14:textId="77777777" w:rsidTr="00E943C4">
        <w:tc>
          <w:tcPr>
            <w:tcW w:w="9307" w:type="dxa"/>
            <w:gridSpan w:val="4"/>
          </w:tcPr>
          <w:p w14:paraId="2EE4BB1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1770A572" w14:textId="77777777" w:rsidTr="00CC0BF7">
        <w:tc>
          <w:tcPr>
            <w:tcW w:w="9307" w:type="dxa"/>
            <w:gridSpan w:val="4"/>
          </w:tcPr>
          <w:p w14:paraId="39066581" w14:textId="77777777" w:rsidR="00C245F9" w:rsidRPr="00977C24" w:rsidRDefault="00B300AD" w:rsidP="00B17E0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  <w:r w:rsidR="000D22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17E0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B17E0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Danial </w:t>
            </w:r>
            <w:proofErr w:type="spellStart"/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</w:p>
          <w:p w14:paraId="4570D8F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54019B4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5726DB0B" w14:textId="77777777"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B61991">
              <w:rPr>
                <w:sz w:val="21"/>
                <w:szCs w:val="21"/>
              </w:rPr>
              <w:t xml:space="preserve">, </w:t>
            </w:r>
            <w:proofErr w:type="spellStart"/>
            <w:r w:rsidR="0022303D">
              <w:rPr>
                <w:sz w:val="21"/>
                <w:szCs w:val="21"/>
              </w:rPr>
              <w:t>Mohd</w:t>
            </w:r>
            <w:proofErr w:type="spellEnd"/>
            <w:r w:rsidR="0022303D">
              <w:rPr>
                <w:sz w:val="21"/>
                <w:szCs w:val="21"/>
              </w:rPr>
              <w:t xml:space="preserve">. </w:t>
            </w:r>
            <w:proofErr w:type="spellStart"/>
            <w:r w:rsidR="00B61991">
              <w:rPr>
                <w:sz w:val="21"/>
                <w:szCs w:val="21"/>
              </w:rPr>
              <w:t>Sadiq</w:t>
            </w:r>
            <w:proofErr w:type="spellEnd"/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08AE07DF" w14:textId="77777777" w:rsidR="005B7219" w:rsidRPr="005B7219" w:rsidRDefault="005B7219" w:rsidP="009A35D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9A35DD">
              <w:rPr>
                <w:i/>
                <w:iCs/>
                <w:sz w:val="21"/>
                <w:szCs w:val="21"/>
              </w:rPr>
              <w:t xml:space="preserve">MRMWR: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Shihab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Balushi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and Engr.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Hamoud</w:t>
            </w:r>
            <w:proofErr w:type="spellEnd"/>
            <w:r w:rsidR="009A35DD">
              <w:rPr>
                <w:i/>
                <w:iCs/>
                <w:sz w:val="21"/>
                <w:szCs w:val="21"/>
              </w:rPr>
              <w:t xml:space="preserve"> Al </w:t>
            </w:r>
            <w:proofErr w:type="spellStart"/>
            <w:r w:rsidR="009A35DD">
              <w:rPr>
                <w:i/>
                <w:iCs/>
                <w:sz w:val="21"/>
                <w:szCs w:val="21"/>
              </w:rPr>
              <w:t>Siyabi</w:t>
            </w:r>
            <w:proofErr w:type="spellEnd"/>
          </w:p>
        </w:tc>
      </w:tr>
      <w:tr w:rsidR="00CC0BF7" w14:paraId="0CD392ED" w14:textId="77777777" w:rsidTr="00E943C4">
        <w:tc>
          <w:tcPr>
            <w:tcW w:w="9307" w:type="dxa"/>
            <w:gridSpan w:val="4"/>
          </w:tcPr>
          <w:p w14:paraId="5787B911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7B28AD2" w14:textId="77777777" w:rsidTr="00CC6709">
        <w:trPr>
          <w:trHeight w:val="332"/>
        </w:trPr>
        <w:tc>
          <w:tcPr>
            <w:tcW w:w="9307" w:type="dxa"/>
            <w:gridSpan w:val="4"/>
          </w:tcPr>
          <w:p w14:paraId="2BB84818" w14:textId="77777777" w:rsidR="009E7645" w:rsidRPr="003E6869" w:rsidRDefault="009E7645" w:rsidP="000D22D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* French Researcher with J</w:t>
            </w:r>
            <w:r w:rsidR="001D506A">
              <w:rPr>
                <w:sz w:val="21"/>
                <w:szCs w:val="21"/>
              </w:rPr>
              <w:t>apanese Students visit the drill site and areas around.</w:t>
            </w:r>
          </w:p>
        </w:tc>
      </w:tr>
    </w:tbl>
    <w:p w14:paraId="77848CC7" w14:textId="77777777" w:rsidR="009A35DD" w:rsidRDefault="009A35DD" w:rsidP="00A365F0">
      <w:pPr>
        <w:jc w:val="both"/>
        <w:rPr>
          <w:sz w:val="21"/>
          <w:szCs w:val="21"/>
        </w:rPr>
      </w:pPr>
    </w:p>
    <w:p w14:paraId="33199D1D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78AD2DE2" w14:textId="77777777" w:rsidR="009A35DD" w:rsidRDefault="009A35DD" w:rsidP="007C256B">
      <w:pPr>
        <w:jc w:val="both"/>
        <w:rPr>
          <w:b/>
          <w:bCs/>
          <w:sz w:val="21"/>
          <w:szCs w:val="21"/>
        </w:rPr>
      </w:pPr>
    </w:p>
    <w:p w14:paraId="26C63AD4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1DCB9715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266FBFB8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81ACD70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96F5" w14:textId="77777777" w:rsidR="00C80CC0" w:rsidRDefault="00C80CC0">
      <w:r>
        <w:separator/>
      </w:r>
    </w:p>
  </w:endnote>
  <w:endnote w:type="continuationSeparator" w:id="0">
    <w:p w14:paraId="03FDBE46" w14:textId="77777777" w:rsidR="00C80CC0" w:rsidRDefault="00C8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99A5" w14:textId="77777777" w:rsidR="00C80CC0" w:rsidRDefault="00C80CC0">
      <w:r>
        <w:separator/>
      </w:r>
    </w:p>
  </w:footnote>
  <w:footnote w:type="continuationSeparator" w:id="0">
    <w:p w14:paraId="34E9F411" w14:textId="77777777" w:rsidR="00C80CC0" w:rsidRDefault="00C80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4704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5B081F6" wp14:editId="3F769974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7CFC4482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4DD2A2E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63A829C2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4556EBD7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5F16"/>
    <w:rsid w:val="000E0F39"/>
    <w:rsid w:val="000E2C02"/>
    <w:rsid w:val="000E3122"/>
    <w:rsid w:val="000F20A2"/>
    <w:rsid w:val="000F5051"/>
    <w:rsid w:val="000F7396"/>
    <w:rsid w:val="00100C5C"/>
    <w:rsid w:val="00116D52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573D7"/>
    <w:rsid w:val="00161DFA"/>
    <w:rsid w:val="001677A3"/>
    <w:rsid w:val="0017522F"/>
    <w:rsid w:val="0018127F"/>
    <w:rsid w:val="00181548"/>
    <w:rsid w:val="00182044"/>
    <w:rsid w:val="0018749B"/>
    <w:rsid w:val="00190739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7C71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F1BF2"/>
    <w:rsid w:val="00302254"/>
    <w:rsid w:val="00302AE8"/>
    <w:rsid w:val="00305E7E"/>
    <w:rsid w:val="003077F6"/>
    <w:rsid w:val="003132FF"/>
    <w:rsid w:val="00322085"/>
    <w:rsid w:val="003253F4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2722"/>
    <w:rsid w:val="004F344C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C9D"/>
    <w:rsid w:val="005E0318"/>
    <w:rsid w:val="005E3925"/>
    <w:rsid w:val="005E4D31"/>
    <w:rsid w:val="005E6A73"/>
    <w:rsid w:val="005F3A2E"/>
    <w:rsid w:val="0060272F"/>
    <w:rsid w:val="00606033"/>
    <w:rsid w:val="00615E75"/>
    <w:rsid w:val="00616BB2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375E9"/>
    <w:rsid w:val="00942234"/>
    <w:rsid w:val="00946F38"/>
    <w:rsid w:val="009553E4"/>
    <w:rsid w:val="009559E8"/>
    <w:rsid w:val="00962081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2B50"/>
    <w:rsid w:val="00AD4946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7E0C"/>
    <w:rsid w:val="00B20965"/>
    <w:rsid w:val="00B21697"/>
    <w:rsid w:val="00B246A1"/>
    <w:rsid w:val="00B247B4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015C"/>
    <w:rsid w:val="00C80CC0"/>
    <w:rsid w:val="00C82E79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C6E86"/>
    <w:rsid w:val="00CE2B7B"/>
    <w:rsid w:val="00CE3670"/>
    <w:rsid w:val="00CE3882"/>
    <w:rsid w:val="00CF2FA7"/>
    <w:rsid w:val="00CF5498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7533"/>
    <w:rsid w:val="00D63846"/>
    <w:rsid w:val="00D67C29"/>
    <w:rsid w:val="00D742B6"/>
    <w:rsid w:val="00D75262"/>
    <w:rsid w:val="00D7541A"/>
    <w:rsid w:val="00D76606"/>
    <w:rsid w:val="00D828D5"/>
    <w:rsid w:val="00D84BE1"/>
    <w:rsid w:val="00D9154D"/>
    <w:rsid w:val="00DA3505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2CDF"/>
    <w:rsid w:val="00F91352"/>
    <w:rsid w:val="00F91819"/>
    <w:rsid w:val="00F96BE1"/>
    <w:rsid w:val="00F96E19"/>
    <w:rsid w:val="00F96EAB"/>
    <w:rsid w:val="00FB05A2"/>
    <w:rsid w:val="00FB4802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FFD5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2017-03-13T22:29:00Z</dcterms:created>
  <dcterms:modified xsi:type="dcterms:W3CDTF">2017-03-13T22:29:00Z</dcterms:modified>
</cp:coreProperties>
</file>