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READ ME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Two sets of tables are available in the GEOCHEM supplementary material. Table 1 (M00xx-F-ST1_Cat+S) includes cations sodium (Na), potassium (K), calcium (Ca), and magnesium (Mg) analyzed via ion chromatography. While the analyzed data showed good analytical precision, the accuracy still needs to be verified so caution is recommended when using these data. Additionally, hydrogen sulfide (H2S) concentrations are presented although all samples were below the detection limit.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second set of tables (M00xx-F-ST2_HS) include additional headspace (HS) gas analyzes data analyzed alongside C1 and C2, such as ethylene (C2=), ethane (C2), propene/propylene (C3=), propane (C3), and n-butane (n-C4) i-butane however, their concentrations are very low, and many are below the detection limit. Additional headspace gas (methane and ethane) data for specific holes are also available, however, those were measured later (several months) than the initially presented data for the longest hole per each site as outlined in the methods chapter.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Lim3g0Y/z5rGSKO2YXRNKggV9Q==">AMUW2mWVK/iaV/29gukg1MEU2FHenAOC/21cEuXWkUNxfezmiIO7A84tz4cCKFKzRZhk1J1d67pbkqas4XadP3iviWjJQDKKez2SuY8vELw+rM6PNs4xhMQ=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2023-04-21T16:42:00Z</dcterms:created>
  <dc:creator>Riedinger, Natascha</dc:creator>
</cp:coreProperties>
</file>