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READ ME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Further demagnetization steps will take place on a discrete sample SRM for measurement in another laboratory during the moratorium, so the inclination calculation was not performed.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See methodology for detailed procedure.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Core, section, interval (cm)=Core and Section Name and depth in section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Sample type= We categorized all samples into carbonate, basalt, and cube samples.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mbsf (m)=Total depth in each hole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Volume (cm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= Sample volume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Weight (g) = Sample weight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Magnetic susceptibility (m³/kg) = Magnetic susceptibility normalized for dry weight of sample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Initial NRM Intensity (A/m) = Initial Natural remanent magnetization normalized for volume of sample. We didn’t measure NRMs for cube samples.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